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3A6B">
      <w:pPr>
        <w:pStyle w:val="3"/>
        <w:spacing w:line="360" w:lineRule="auto"/>
        <w:ind w:firstLine="282"/>
        <w:jc w:val="center"/>
        <w:rPr>
          <w:rFonts w:hint="eastAsia" w:cs="宋体" w:asciiTheme="minorEastAsia" w:hAnsiTheme="minorEastAsia" w:eastAsiaTheme="min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30"/>
          <w:szCs w:val="30"/>
          <w:lang w:val="zh-TW"/>
        </w:rPr>
        <w:t>技术</w:t>
      </w:r>
      <w:r>
        <w:rPr>
          <w:rFonts w:hint="eastAsia" w:cs="宋体" w:asciiTheme="minorEastAsia" w:hAnsiTheme="minorEastAsia" w:eastAsiaTheme="minorEastAsia"/>
          <w:b/>
          <w:bCs/>
          <w:color w:val="auto"/>
          <w:sz w:val="30"/>
          <w:szCs w:val="30"/>
          <w:lang w:val="en-US" w:eastAsia="zh-CN"/>
        </w:rPr>
        <w:t>指标</w:t>
      </w:r>
    </w:p>
    <w:p w14:paraId="3950C870">
      <w:pPr>
        <w:pStyle w:val="4"/>
        <w:ind w:firstLine="0"/>
        <w:rPr>
          <w:rFonts w:cs="宋体" w:asciiTheme="minorEastAsia" w:hAnsiTheme="minorEastAsia" w:eastAsiaTheme="minorEastAsia"/>
          <w:color w:val="auto"/>
          <w:lang w:val="zh-TW" w:eastAsia="zh-TW"/>
        </w:rPr>
      </w:pPr>
    </w:p>
    <w:p w14:paraId="192CD0E0">
      <w:pPr>
        <w:pStyle w:val="4"/>
        <w:ind w:firstLine="446"/>
        <w:rPr>
          <w:rFonts w:cs="宋体" w:asciiTheme="minorEastAsia" w:hAnsiTheme="minorEastAsia" w:eastAsiaTheme="minorEastAsia"/>
          <w:bCs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1.1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）定义</w:t>
      </w:r>
    </w:p>
    <w:p w14:paraId="2D7FF2A3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集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5.8GHz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和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13.56MHz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通信功能于一体，具备车辆入口信息、路径信息和计费信息等读写功能，在收费站入口车道发放给车辆、出口车道收回的可重复使用的通行介质。</w:t>
      </w:r>
    </w:p>
    <w:p w14:paraId="4DFAD74A">
      <w:pPr>
        <w:pStyle w:val="4"/>
        <w:ind w:firstLine="446"/>
        <w:rPr>
          <w:rFonts w:cs="宋体" w:asciiTheme="minorEastAsia" w:hAnsiTheme="minorEastAsia" w:eastAsiaTheme="minorEastAsia"/>
          <w:bCs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*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1.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2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物理层参数指标</w:t>
      </w:r>
    </w:p>
    <w:p w14:paraId="557F5694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）的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13.56MHz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物理层参数指标应符合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ISO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／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IEC 14443 TYPE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－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A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标准的相关规定；</w:t>
      </w:r>
    </w:p>
    <w:p w14:paraId="548C02E0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符合《高速公路复合通行卡（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）技术要求》（交通部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2019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第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43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号公告）；</w:t>
      </w:r>
    </w:p>
    <w:p w14:paraId="482C7485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符合《收费公路联网电子不停车收费技术要求》（交通部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2011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年第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13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号公告）。</w:t>
      </w:r>
    </w:p>
    <w:p w14:paraId="57327F1B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）的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5.8GHz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物理层参数指标，如表所示。</w:t>
      </w:r>
    </w:p>
    <w:p w14:paraId="799BA53E">
      <w:pPr>
        <w:pStyle w:val="5"/>
        <w:ind w:firstLine="240"/>
        <w:rPr>
          <w:highlight w:val="yellow"/>
          <w:shd w:val="clear" w:color="auto" w:fill="FFFFFF"/>
          <w:lang w:eastAsia="zh-CN"/>
        </w:rPr>
      </w:pPr>
    </w:p>
    <w:tbl>
      <w:tblPr>
        <w:tblStyle w:val="6"/>
        <w:tblW w:w="8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737"/>
        <w:gridCol w:w="3863"/>
      </w:tblGrid>
      <w:tr w14:paraId="0239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84D71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E5E4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指标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D7311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要求</w:t>
            </w:r>
          </w:p>
        </w:tc>
      </w:tr>
      <w:tr w14:paraId="4E93F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360A3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8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FFA0E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载波频率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8FD2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信道1：5.79GHz</w:t>
            </w:r>
          </w:p>
        </w:tc>
      </w:tr>
      <w:tr w14:paraId="5C49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93B5">
            <w:pPr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38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D02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7A52A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信道2：5.80GHz</w:t>
            </w:r>
          </w:p>
        </w:tc>
      </w:tr>
      <w:tr w14:paraId="66F24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45F32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32839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频率容限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3BFC7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±200ppm</w:t>
            </w:r>
          </w:p>
        </w:tc>
      </w:tr>
      <w:tr w14:paraId="5C509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CF8EF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979A5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占用带宽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FC94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≤5MHz</w:t>
            </w:r>
          </w:p>
        </w:tc>
      </w:tr>
      <w:tr w14:paraId="4504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D0280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AC17C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EIRP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184E2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≤10dBm</w:t>
            </w:r>
          </w:p>
        </w:tc>
      </w:tr>
      <w:tr w14:paraId="723EC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7F0E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D753"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杂散发射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9F757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30MHZ-1000MHZ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5951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≤－36dBm／100kHz</w:t>
            </w:r>
          </w:p>
        </w:tc>
      </w:tr>
      <w:tr w14:paraId="70CC2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01747">
            <w:pPr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417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31832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2400MHz-2483.5Hz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F216E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≤－40dBm／1MHz</w:t>
            </w:r>
          </w:p>
        </w:tc>
      </w:tr>
      <w:tr w14:paraId="497A9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5D90C">
            <w:pPr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6E69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61985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3400MH2-3500Hz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FD16C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≤－40dBm／1MHz</w:t>
            </w:r>
          </w:p>
        </w:tc>
      </w:tr>
      <w:tr w14:paraId="001F5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91BA">
            <w:pPr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5D9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5C61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5725MHz-5850Hz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26575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≤－33dBm／100kHz</w:t>
            </w:r>
          </w:p>
        </w:tc>
      </w:tr>
      <w:tr w14:paraId="1182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2824">
            <w:pPr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7C7B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2F01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其他1GHz－20GHz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789C7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≤－30dBm／1MHz</w:t>
            </w:r>
          </w:p>
        </w:tc>
      </w:tr>
      <w:tr w14:paraId="6352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34428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13E4F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邻道功率泄露比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2EB65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≤－30dB</w:t>
            </w:r>
          </w:p>
        </w:tc>
      </w:tr>
      <w:tr w14:paraId="1225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E501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9D09B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天线极化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B8FC6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线极化或右旋圆极化</w:t>
            </w:r>
          </w:p>
        </w:tc>
      </w:tr>
      <w:tr w14:paraId="5E1F4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4193F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F8DB4">
            <w:p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天线方向性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3961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0AC9F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全向</w:t>
            </w:r>
          </w:p>
        </w:tc>
      </w:tr>
      <w:tr w14:paraId="0C9D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20750">
            <w:pPr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C3D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54F4D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垂直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C400A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全向</w:t>
            </w:r>
          </w:p>
        </w:tc>
      </w:tr>
      <w:tr w14:paraId="5171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F458B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67574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调制方式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29D26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ASK</w:t>
            </w:r>
          </w:p>
        </w:tc>
      </w:tr>
      <w:tr w14:paraId="0F5B0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44BD2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19343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调制系数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79258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0.7-0.9</w:t>
            </w:r>
          </w:p>
        </w:tc>
      </w:tr>
      <w:tr w14:paraId="629C0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8654B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9ABBD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编码方式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0FDCE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FM0</w:t>
            </w:r>
          </w:p>
        </w:tc>
      </w:tr>
      <w:tr w14:paraId="4B03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1604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29A5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位速率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368B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512Kbit/s</w:t>
            </w:r>
          </w:p>
        </w:tc>
      </w:tr>
      <w:tr w14:paraId="56D6E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5E5A6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15D2B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位时钟精度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1A8F3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±1000×</w:t>
            </w: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QUOTE </w:instrText>
            </w:r>
            <w:r>
              <w:rPr>
                <w:position w:val="-17"/>
              </w:rPr>
              <w:pict>
                <v:shape id="_x0000_i1025" o:spt="75" type="#_x0000_t75" style="height:19.5pt;width:22.5pt;" filled="f" o:preferrelative="t" stroked="f" coordsize="21600,21600" equationxml="&lt;">
                  <v:path/>
                  <v:fill on="f" focussize="0,0"/>
                  <v:stroke on="f" joinstyle="miter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position w:val="-17"/>
              </w:rPr>
              <w:pict>
                <v:shape id="_x0000_i1026" o:spt="75" type="#_x0000_t75" style="height:19.5pt;width:22.5pt;" filled="f" o:preferrelative="t" stroked="f" coordsize="21600,21600" equationxml="&lt;">
                  <v:path/>
                  <v:fill on="f" focussize="0,0"/>
                  <v:stroke on="f" joinstyle="miter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</w:tr>
      <w:tr w14:paraId="2BF90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252F2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BB5FC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唤醒方式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0748">
            <w:pPr>
              <w:textAlignment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14k方波唤醒或者正常通信帧信号唤醒</w:t>
            </w:r>
          </w:p>
        </w:tc>
      </w:tr>
      <w:tr w14:paraId="7302B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C3E6A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1A245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唤醒灵敏度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C643E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≤-50dbm</w:t>
            </w:r>
          </w:p>
        </w:tc>
      </w:tr>
      <w:tr w14:paraId="05D48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DB3AA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F4B4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接收灵敏度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FCFA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≤-65dBm</w:t>
            </w:r>
          </w:p>
        </w:tc>
      </w:tr>
      <w:tr w14:paraId="4C459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92683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DC2E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接收带宽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095E0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5.825GHz-5.845GHz</w:t>
            </w:r>
          </w:p>
        </w:tc>
      </w:tr>
      <w:tr w14:paraId="2CC3B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90BC3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25B4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BER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B7937">
            <w:pPr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10×</w:t>
            </w: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QUOTE </w:instrText>
            </w:r>
            <w:r>
              <w:rPr>
                <w:position w:val="-17"/>
              </w:rPr>
              <w:pict>
                <v:shape id="_x0000_i1027" o:spt="75" type="#_x0000_t75" style="height:19.5pt;width:22.5pt;" filled="f" o:preferrelative="t" stroked="f" coordsize="21600,21600" equationxml="&lt;">
                  <v:path/>
                  <v:fill on="f" focussize="0,0"/>
                  <v:stroke on="f" joinstyle="miter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position w:val="-17"/>
              </w:rPr>
              <w:pict>
                <v:shape id="_x0000_i1028" o:spt="75" type="#_x0000_t75" style="height:19.5pt;width:22.5pt;" filled="f" o:preferrelative="t" stroked="f" coordsize="21600,21600" equationxml="&lt;">
                  <v:path/>
                  <v:fill on="f" focussize="0,0"/>
                  <v:stroke on="f" joinstyle="miter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</w:tr>
      <w:tr w14:paraId="48392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78623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6378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前导码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CD80E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16位"1"加16位"0"</w:t>
            </w:r>
          </w:p>
        </w:tc>
      </w:tr>
      <w:tr w14:paraId="1A0AD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1CB4A">
            <w:pPr>
              <w:ind w:firstLine="420"/>
              <w:jc w:val="both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B5B3C">
            <w:pPr>
              <w:ind w:firstLine="42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后导码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33846">
            <w:pPr>
              <w:ind w:firstLine="42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最多8位</w:t>
            </w:r>
          </w:p>
        </w:tc>
      </w:tr>
    </w:tbl>
    <w:p w14:paraId="3770B196">
      <w:pPr>
        <w:pStyle w:val="4"/>
        <w:ind w:firstLine="446"/>
        <w:rPr>
          <w:rFonts w:cs="宋体" w:asciiTheme="minorEastAsia" w:hAnsiTheme="minorEastAsia" w:eastAsiaTheme="minorEastAsia"/>
          <w:bCs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1.3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应用要求</w:t>
      </w:r>
    </w:p>
    <w:p w14:paraId="4C062E98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）应符合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GB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／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T20851.2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、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GB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／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T20851.3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中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OBU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服务原语的相关规定。</w:t>
      </w:r>
    </w:p>
    <w:p w14:paraId="7F05A43D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）与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IC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卡读写器之间的通信应符合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1SO/IEC 14443TYPE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－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A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标准的相关规定，高速公路复合通行卡（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）在出入口车道交互流程详见《高速公路复合通行卡（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）技术要求》。</w:t>
      </w:r>
    </w:p>
    <w:p w14:paraId="28EE88A2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）应支持微波唤醒，定时周期唤醒功能可选。</w:t>
      </w:r>
    </w:p>
    <w:p w14:paraId="4A507BD7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）应支持使用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IC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卡读写器打开、关闭等管理功能。</w:t>
      </w:r>
    </w:p>
    <w:p w14:paraId="61968D07">
      <w:pPr>
        <w:pStyle w:val="4"/>
        <w:ind w:firstLine="446"/>
        <w:rPr>
          <w:rFonts w:cs="宋体" w:asciiTheme="minorEastAsia" w:hAnsiTheme="minorEastAsia" w:eastAsiaTheme="minorEastAsia"/>
          <w:bCs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1.4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应用命令集</w:t>
      </w:r>
    </w:p>
    <w:p w14:paraId="030F932A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）应用命令集应参照《高速公路复合通行卡（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）技术要求》中关于其应用命令集的描述</w:t>
      </w:r>
    </w:p>
    <w:p w14:paraId="3E06EB98">
      <w:pPr>
        <w:pStyle w:val="4"/>
        <w:ind w:firstLine="446"/>
        <w:rPr>
          <w:rFonts w:cs="宋体" w:asciiTheme="minorEastAsia" w:hAnsiTheme="minorEastAsia" w:eastAsiaTheme="minorEastAsia"/>
          <w:bCs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1.5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安全</w:t>
      </w:r>
    </w:p>
    <w:p w14:paraId="7D341E3F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CPC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卡所有初始化数据应采用安全保护方式写入。</w:t>
      </w:r>
    </w:p>
    <w:p w14:paraId="260D60AC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CPC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卡应支持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SM4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国产对称密码算法的数据存取和访问控制。</w:t>
      </w:r>
    </w:p>
    <w:p w14:paraId="5F8C25A8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CPC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卡应提供安全访问模块或达到同等安全等级的芯片。</w:t>
      </w:r>
    </w:p>
    <w:p w14:paraId="30984517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CPC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卡所使用安全访问模块或芯片的安全等级应达到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GM/T 0008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《安全芯片密码检测准则》规定的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2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级或以上级别。</w:t>
      </w:r>
    </w:p>
    <w:p w14:paraId="3338D2C0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CPC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卡内的数据信息存储宜采用数据块的方式，寻址应采用目录树和文件的方式。</w:t>
      </w:r>
    </w:p>
    <w:p w14:paraId="7C572D6F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CPC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卡内应具有不小于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3k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字节作为应用信息存储空间。</w:t>
      </w:r>
    </w:p>
    <w:p w14:paraId="3426DBD0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CPC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卡应支持应用更新，更新应采用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13.56MHz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通信方式，可选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5.8GHz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通信方式。</w:t>
      </w:r>
    </w:p>
    <w:p w14:paraId="00353BEC">
      <w:pPr>
        <w:pStyle w:val="4"/>
        <w:ind w:left="446" w:firstLine="0"/>
        <w:rPr>
          <w:rFonts w:cs="宋体" w:asciiTheme="minorEastAsia" w:hAnsiTheme="minorEastAsia" w:eastAsiaTheme="minorEastAsia"/>
          <w:bCs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1.6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电池</w:t>
      </w:r>
    </w:p>
    <w:p w14:paraId="2E4A1D67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电池应通过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UL1642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和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UN38.3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认证</w:t>
      </w:r>
    </w:p>
    <w:p w14:paraId="5D9926D5">
      <w:pPr>
        <w:pStyle w:val="4"/>
        <w:ind w:firstLine="446"/>
        <w:rPr>
          <w:rFonts w:cs="宋体" w:asciiTheme="minorEastAsia" w:hAnsiTheme="minorEastAsia" w:eastAsiaTheme="minorEastAsia"/>
          <w:bCs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1.7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外观规格</w:t>
      </w:r>
    </w:p>
    <w:p w14:paraId="44B15DDD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1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）尺寸：长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85.5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±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0.2mm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，宽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54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±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0.2mm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，厚度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5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±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0.2mm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。</w:t>
      </w:r>
    </w:p>
    <w:p w14:paraId="7FA208E8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2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）颜色：外观颜色为浅蓝色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PT304U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，色值为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R:148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，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G:219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，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B:236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。</w:t>
      </w:r>
    </w:p>
    <w:p w14:paraId="0D4B2A9E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3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）标识：卡片正面的卡号、背面的生产日期（年、月）及产品型号信息用激光雕刻，</w:t>
      </w:r>
    </w:p>
    <w:p w14:paraId="4877BC35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其他固定标识信息采用模具成型方式，下凹光面，其余表面为磨砂面，字体为黑体，字符间</w:t>
      </w:r>
    </w:p>
    <w:p w14:paraId="1990E2BB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距为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20%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，“中国公路”及“使用须知”字高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5mm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，“车辆通行卡”字高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7.8mm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，其余文字高</w:t>
      </w:r>
    </w:p>
    <w:p w14:paraId="342AC9E8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2.5mm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，“使用须知”下两条水平线粗为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1.5pt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。</w:t>
      </w:r>
    </w:p>
    <w:p w14:paraId="056312B3">
      <w:pPr>
        <w:pStyle w:val="4"/>
        <w:ind w:firstLine="446"/>
        <w:rPr>
          <w:rFonts w:cs="宋体" w:asciiTheme="minorEastAsia" w:hAnsiTheme="minorEastAsia" w:eastAsiaTheme="minorEastAsia"/>
          <w:bCs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1.8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可靠性</w:t>
      </w:r>
    </w:p>
    <w:p w14:paraId="4D4C32C0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MTBF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：≥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45,000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小时</w:t>
      </w:r>
    </w:p>
    <w:p w14:paraId="5383ECBB">
      <w:pPr>
        <w:pStyle w:val="4"/>
        <w:ind w:firstLine="480" w:firstLineChars="200"/>
        <w:rPr>
          <w:rFonts w:cs="宋体" w:asciiTheme="minorEastAsia" w:hAnsiTheme="minorEastAsia" w:eastAsiaTheme="minorEastAsia"/>
          <w:bCs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*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1.9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环境条件</w:t>
      </w:r>
    </w:p>
    <w:p w14:paraId="2637FC87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环境条件应符合：</w:t>
      </w:r>
    </w:p>
    <w:p w14:paraId="0F727864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a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）工作温度：一般要求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-25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℃～＋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75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℃</w:t>
      </w:r>
    </w:p>
    <w:p w14:paraId="7013F90C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b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）存储温度：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-40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℃～＋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75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℃</w:t>
      </w:r>
    </w:p>
    <w:p w14:paraId="0BCAA682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）相对工作湿度：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5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％～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100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％</w:t>
      </w:r>
    </w:p>
    <w:p w14:paraId="4BAF4595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d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）静电：≥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8KV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（空气发电）</w:t>
      </w:r>
    </w:p>
    <w:p w14:paraId="42F64245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e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）振动：应符合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GB/T 2423.10-2008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《电工电子产品环境试验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第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2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部分：试验方法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试验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Fc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：振动（正弦）》</w:t>
      </w:r>
    </w:p>
    <w:p w14:paraId="2E66389B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f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）冲击：应符合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GB/T 2423.5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《电工电子产品环境试验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第二部分：试验方法试验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Ea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和导则：冲击》试验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Eb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和导则</w:t>
      </w:r>
    </w:p>
    <w:p w14:paraId="640B8634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g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）外壳防护等级：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IP65</w:t>
      </w:r>
    </w:p>
    <w:p w14:paraId="64BB29EA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cs="宋体" w:asciiTheme="minorEastAsia" w:hAnsiTheme="minorEastAsia" w:eastAsiaTheme="minorEastAsia"/>
          <w:color w:val="auto"/>
          <w:lang w:val="zh-TW" w:eastAsia="zh-TW"/>
        </w:rPr>
        <w:t>h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）防紫外线老化。</w:t>
      </w:r>
    </w:p>
    <w:p w14:paraId="370DD418">
      <w:pPr>
        <w:pStyle w:val="4"/>
        <w:ind w:firstLine="446"/>
        <w:rPr>
          <w:rFonts w:cs="宋体" w:asciiTheme="minorEastAsia" w:hAnsiTheme="minorEastAsia" w:eastAsiaTheme="minorEastAsia"/>
          <w:bCs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1.10</w:t>
      </w:r>
      <w:r>
        <w:rPr>
          <w:rFonts w:eastAsia="Arial Unicode MS" w:cs="宋体" w:asciiTheme="minorEastAsia" w:hAnsiTheme="minorEastAsia"/>
          <w:color w:val="auto"/>
          <w:lang w:val="zh-TW" w:eastAsia="zh-TW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使用寿命</w:t>
      </w:r>
    </w:p>
    <w:p w14:paraId="29729C3C">
      <w:pPr>
        <w:pStyle w:val="4"/>
        <w:ind w:firstLine="446"/>
        <w:rPr>
          <w:rFonts w:cs="宋体" w:asciiTheme="minorEastAsia" w:hAnsiTheme="minorEastAsia"/>
          <w:lang w:val="zh-TW" w:eastAsia="zh-TW"/>
        </w:rPr>
      </w:pP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高速公路复合通行卡（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CPC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）的使用寿命：≥</w:t>
      </w:r>
      <w:r>
        <w:rPr>
          <w:rFonts w:cs="宋体" w:asciiTheme="minorEastAsia" w:hAnsiTheme="minorEastAsia" w:eastAsiaTheme="minorEastAsia"/>
          <w:color w:val="auto"/>
          <w:lang w:val="zh-TW" w:eastAsia="zh-TW"/>
        </w:rPr>
        <w:t>5</w:t>
      </w:r>
      <w:r>
        <w:rPr>
          <w:rFonts w:hint="eastAsia" w:cs="宋体" w:asciiTheme="minorEastAsia" w:hAnsiTheme="minorEastAsia" w:eastAsiaTheme="minorEastAsia"/>
          <w:color w:val="auto"/>
          <w:lang w:val="zh-TW" w:eastAsia="zh-TW"/>
        </w:rPr>
        <w:t>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xMWE0ZjIyNGVjYzBhZjViYTU3ODJiNzYxMjA1NWEifQ=="/>
  </w:docVars>
  <w:rsids>
    <w:rsidRoot w:val="00750F00"/>
    <w:rsid w:val="006C1927"/>
    <w:rsid w:val="00750F00"/>
    <w:rsid w:val="00E726E8"/>
    <w:rsid w:val="6550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en-US" w:bidi="ar-SA"/>
    </w:rPr>
  </w:style>
  <w:style w:type="paragraph" w:styleId="3">
    <w:name w:val="heading 2"/>
    <w:next w:val="4"/>
    <w:link w:val="8"/>
    <w:qFormat/>
    <w:uiPriority w:val="0"/>
    <w:pPr>
      <w:keepNext/>
      <w:keepLines/>
      <w:widowControl w:val="0"/>
      <w:spacing w:line="293" w:lineRule="auto"/>
      <w:ind w:firstLine="1648"/>
      <w:outlineLvl w:val="1"/>
    </w:pPr>
    <w:rPr>
      <w:rFonts w:ascii="Arial" w:hAnsi="Arial" w:eastAsia="Arial" w:cs="Arial"/>
      <w:color w:val="000000"/>
      <w:kern w:val="0"/>
      <w:sz w:val="24"/>
      <w:szCs w:val="24"/>
      <w:u w:color="00000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customStyle="1" w:styleId="4">
    <w:name w:val="正文 A"/>
    <w:qFormat/>
    <w:uiPriority w:val="99"/>
    <w:pPr>
      <w:widowControl w:val="0"/>
      <w:spacing w:line="360" w:lineRule="auto"/>
      <w:ind w:firstLine="1648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u w:color="000000"/>
      <w:lang w:val="en-US" w:eastAsia="zh-CN" w:bidi="ar-SA"/>
    </w:rPr>
  </w:style>
  <w:style w:type="paragraph" w:styleId="5">
    <w:name w:val="Body Text First Indent"/>
    <w:basedOn w:val="2"/>
    <w:link w:val="10"/>
    <w:semiHidden/>
    <w:unhideWhenUsed/>
    <w:qFormat/>
    <w:uiPriority w:val="99"/>
    <w:pPr>
      <w:ind w:firstLine="420" w:firstLineChars="100"/>
    </w:pPr>
    <w:rPr>
      <w:u w:color="000000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Arial" w:cs="Arial"/>
      <w:color w:val="000000"/>
      <w:kern w:val="0"/>
      <w:sz w:val="24"/>
      <w:szCs w:val="24"/>
      <w:u w:color="000000"/>
    </w:rPr>
  </w:style>
  <w:style w:type="character" w:customStyle="1" w:styleId="9">
    <w:name w:val="正文文本 Char"/>
    <w:basedOn w:val="7"/>
    <w:link w:val="2"/>
    <w:semiHidden/>
    <w:qFormat/>
    <w:uiPriority w:val="99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customStyle="1" w:styleId="10">
    <w:name w:val="正文首行缩进 Char"/>
    <w:basedOn w:val="9"/>
    <w:link w:val="5"/>
    <w:semiHidden/>
    <w:qFormat/>
    <w:uiPriority w:val="99"/>
    <w:rPr>
      <w:rFonts w:ascii="Times New Roman" w:hAnsi="Times New Roman" w:cs="Times New Roman"/>
      <w:kern w:val="0"/>
      <w:sz w:val="24"/>
      <w:szCs w:val="24"/>
      <w:u w:color="00000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2074</Words>
  <Characters>2553</Characters>
  <Lines>19</Lines>
  <Paragraphs>5</Paragraphs>
  <TotalTime>5</TotalTime>
  <ScaleCrop>false</ScaleCrop>
  <LinksUpToDate>false</LinksUpToDate>
  <CharactersWithSpaces>2609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2024-09-03T02:06:00Z</dcterms:created>
  <dc:creator>TJLW</dc:creator>
  <cp:lastModifiedBy>李翔</cp:lastModifiedBy>
  <dcterms:modified xsi:type="dcterms:W3CDTF">2024-10-16T10:13:44Z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9E6913BC88344D39B1779F94CD51CBD6_13</vt:lpwstr>
  </property>
</Properties>
</file>